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8437" w14:textId="3678CB94" w:rsidR="006813C0" w:rsidRPr="006813C0" w:rsidRDefault="006813C0" w:rsidP="006813C0">
      <w:pPr>
        <w:shd w:val="clear" w:color="auto" w:fill="FFFFFF"/>
        <w:spacing w:before="300" w:after="150" w:line="336" w:lineRule="atLeast"/>
        <w:outlineLvl w:val="0"/>
        <w:rPr>
          <w:rFonts w:eastAsia="Times New Roman" w:cstheme="minorHAnsi"/>
          <w:b/>
          <w:bCs/>
          <w:color w:val="333333"/>
          <w:kern w:val="36"/>
          <w:sz w:val="24"/>
          <w:szCs w:val="24"/>
          <w:lang w:eastAsia="de-DE"/>
        </w:rPr>
      </w:pPr>
      <w:r w:rsidRPr="006813C0">
        <w:rPr>
          <w:rFonts w:eastAsia="Times New Roman" w:cstheme="minorHAnsi"/>
          <w:b/>
          <w:bCs/>
          <w:color w:val="333333"/>
          <w:kern w:val="36"/>
          <w:sz w:val="32"/>
          <w:szCs w:val="32"/>
          <w:lang w:eastAsia="de-DE"/>
        </w:rPr>
        <w:t>Kirchengesetz</w:t>
      </w:r>
      <w:r w:rsidRPr="006813C0">
        <w:rPr>
          <w:rFonts w:eastAsia="Times New Roman" w:cstheme="minorHAnsi"/>
          <w:b/>
          <w:bCs/>
          <w:color w:val="333333"/>
          <w:kern w:val="36"/>
          <w:sz w:val="32"/>
          <w:szCs w:val="32"/>
          <w:lang w:eastAsia="de-DE"/>
        </w:rPr>
        <w:br/>
      </w:r>
      <w:r w:rsidRPr="006813C0">
        <w:rPr>
          <w:rFonts w:eastAsia="Times New Roman" w:cstheme="minorHAnsi"/>
          <w:b/>
          <w:bCs/>
          <w:color w:val="333333"/>
          <w:kern w:val="36"/>
          <w:sz w:val="28"/>
          <w:szCs w:val="28"/>
          <w:lang w:eastAsia="de-DE"/>
        </w:rPr>
        <w:t>zur Prävention und Intervention gegen sexualisierte Gewalt in der Evangelisch-Lutherischen Kirche in Norddeutschland und ihrer Diakonie</w:t>
      </w:r>
      <w:r w:rsidRPr="006813C0">
        <w:rPr>
          <w:rFonts w:eastAsia="Times New Roman" w:cstheme="minorHAnsi"/>
          <w:b/>
          <w:bCs/>
          <w:color w:val="333333"/>
          <w:kern w:val="36"/>
          <w:sz w:val="28"/>
          <w:szCs w:val="28"/>
          <w:lang w:eastAsia="de-DE"/>
        </w:rPr>
        <w:br/>
        <w:t>(</w:t>
      </w:r>
      <w:r w:rsidRPr="006813C0">
        <w:rPr>
          <w:rFonts w:eastAsia="Times New Roman" w:cstheme="minorHAnsi"/>
          <w:b/>
          <w:bCs/>
          <w:color w:val="333333"/>
          <w:kern w:val="36"/>
          <w:sz w:val="28"/>
          <w:szCs w:val="28"/>
          <w:shd w:val="clear" w:color="auto" w:fill="FFFF00"/>
          <w:lang w:eastAsia="de-DE"/>
        </w:rPr>
        <w:t>Präventionsgesetz</w:t>
      </w:r>
      <w:r w:rsidRPr="006813C0">
        <w:rPr>
          <w:rFonts w:eastAsia="Times New Roman" w:cstheme="minorHAnsi"/>
          <w:b/>
          <w:bCs/>
          <w:color w:val="333333"/>
          <w:kern w:val="36"/>
          <w:sz w:val="28"/>
          <w:szCs w:val="28"/>
          <w:lang w:eastAsia="de-DE"/>
        </w:rPr>
        <w:t xml:space="preserve"> – </w:t>
      </w:r>
      <w:proofErr w:type="spellStart"/>
      <w:r w:rsidRPr="006813C0">
        <w:rPr>
          <w:rFonts w:eastAsia="Times New Roman" w:cstheme="minorHAnsi"/>
          <w:b/>
          <w:bCs/>
          <w:color w:val="333333"/>
          <w:kern w:val="36"/>
          <w:sz w:val="28"/>
          <w:szCs w:val="28"/>
          <w:lang w:eastAsia="de-DE"/>
        </w:rPr>
        <w:t>PrävG</w:t>
      </w:r>
      <w:proofErr w:type="spellEnd"/>
      <w:r w:rsidRPr="006813C0">
        <w:rPr>
          <w:rFonts w:eastAsia="Times New Roman" w:cstheme="minorHAnsi"/>
          <w:b/>
          <w:bCs/>
          <w:color w:val="333333"/>
          <w:kern w:val="36"/>
          <w:sz w:val="28"/>
          <w:szCs w:val="28"/>
          <w:lang w:eastAsia="de-DE"/>
        </w:rPr>
        <w:t>)</w:t>
      </w:r>
    </w:p>
    <w:p w14:paraId="2D8B2C1D" w14:textId="1B5A4FE1" w:rsidR="006813C0" w:rsidRPr="006813C0" w:rsidRDefault="006813C0" w:rsidP="006813C0">
      <w:pPr>
        <w:shd w:val="clear" w:color="auto" w:fill="FFFFFF"/>
        <w:spacing w:before="300" w:after="150" w:line="336" w:lineRule="atLeast"/>
        <w:jc w:val="center"/>
        <w:outlineLvl w:val="1"/>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Vom 17. April 2018</w:t>
      </w:r>
      <w:r w:rsidR="0046173C">
        <w:rPr>
          <w:rFonts w:eastAsia="Times New Roman" w:cstheme="minorHAnsi"/>
          <w:b/>
          <w:bCs/>
          <w:color w:val="333333"/>
          <w:sz w:val="24"/>
          <w:szCs w:val="24"/>
          <w:lang w:eastAsia="de-DE"/>
        </w:rPr>
        <w:t>, in Kraft getreten am 18. April 2018</w:t>
      </w:r>
    </w:p>
    <w:p w14:paraId="7EC92EFE" w14:textId="33604F20"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ascii="Open Sans" w:eastAsia="Times New Roman" w:hAnsi="Open Sans" w:cs="Open Sans"/>
          <w:b/>
          <w:bCs/>
          <w:color w:val="333333"/>
          <w:sz w:val="24"/>
          <w:szCs w:val="24"/>
          <w:lang w:eastAsia="de-DE"/>
        </w:rPr>
        <w:br/>
      </w:r>
      <w:r w:rsidRPr="006813C0">
        <w:rPr>
          <w:rFonts w:eastAsia="Times New Roman" w:cstheme="minorHAnsi"/>
          <w:b/>
          <w:bCs/>
          <w:color w:val="333333"/>
          <w:sz w:val="24"/>
          <w:szCs w:val="24"/>
          <w:lang w:eastAsia="de-DE"/>
        </w:rPr>
        <w:t>Geltungsbereich</w:t>
      </w:r>
    </w:p>
    <w:p w14:paraId="071CBE50"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1 Dieses Kirchengesetz gilt für die kirchlichen Körperschaften und ihre Dienste und Werke einschließlich der Diakonischen Werke in der Evangelisch-Lutherischen Kirche in Norddeutschland (kirchliche Träger). 2 Die Diakonischen Werke – Landesverbände sollen ihre Mitglieder zur Beachtung dieses Kirchengesetzes verpflichten.</w:t>
      </w:r>
    </w:p>
    <w:p w14:paraId="74BDB63C"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1a</w:t>
      </w:r>
      <w:r w:rsidRPr="006813C0">
        <w:rPr>
          <w:rFonts w:eastAsia="Times New Roman" w:cstheme="minorHAnsi"/>
          <w:b/>
          <w:bCs/>
          <w:color w:val="333333"/>
          <w:sz w:val="24"/>
          <w:szCs w:val="24"/>
          <w:lang w:eastAsia="de-DE"/>
        </w:rPr>
        <w:br/>
        <w:t>Begriffsbestimmungen</w:t>
      </w:r>
    </w:p>
    <w:p w14:paraId="2D051E53"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( 1</w:t>
      </w:r>
      <w:proofErr w:type="gramEnd"/>
      <w:r w:rsidRPr="006813C0">
        <w:rPr>
          <w:rFonts w:eastAsia="Times New Roman" w:cstheme="minorHAnsi"/>
          <w:color w:val="262626"/>
          <w:sz w:val="24"/>
          <w:szCs w:val="24"/>
          <w:lang w:eastAsia="de-DE"/>
        </w:rPr>
        <w:t xml:space="preserve"> ) 1 Eine Verhaltensweise ist sexualisierte Gewalt, wenn ein unerwünschtes sexuell bestimmtes Verhalten bezweckt oder bewirkt, dass die Würde der betroffenen Person verletzt wird. 2 Sexualisierte Gewalt kann verbal, nonverbal, durch Aufforderung oder durch Tätlichkeiten geschehen. 3 Sie kann auch in Form des Unterlassens geschehen, wenn die Mitarbeiterin bzw. der Mitarbeiter für deren Abwendung einzustehen hat. 4 Sexualisierte Gewalt ist immer bei Straftaten gegen die sexuelle Selbstbestimmung nach dem 13. Abschnitt des Strafgesetzbuches in der Fassung der Bekanntmachung vom 13. November 1998 (BGBl. I S. 3322), das zuletzt durch Artikel 1 des Gesetzes vom 11. Juli 2022 (BGBl. I S. 1082) geändert worden ist, in der jeweils geltenden Fassung und § 201a Absatz 3 oder §§ 232 bis 233a des Strafgesetzbuches gegeben.</w:t>
      </w:r>
    </w:p>
    <w:p w14:paraId="386919D0"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( 2</w:t>
      </w:r>
      <w:proofErr w:type="gramEnd"/>
      <w:r w:rsidRPr="006813C0">
        <w:rPr>
          <w:rFonts w:eastAsia="Times New Roman" w:cstheme="minorHAnsi"/>
          <w:color w:val="262626"/>
          <w:sz w:val="24"/>
          <w:szCs w:val="24"/>
          <w:lang w:eastAsia="de-DE"/>
        </w:rPr>
        <w:t xml:space="preserve"> ) 1 Gegenüber Minderjährigen kann sexuell bestimmtes Verhalten im Sinne des Absatzes 1 insbesondere unerwünscht sein, wenn eine körperliche, seelische, geistige, sprachliche oder strukturelle Unterlegenheit und damit eine gegenüber der Täterin bzw. dem Täter fehlende Fähigkeit zur sexuellen Selbstbestimmung gegeben ist. 2 Bei Personen unter 14 Jahren ist das sexuell bestimmte Verhalten stets als unerwünscht anzusehen.</w:t>
      </w:r>
    </w:p>
    <w:p w14:paraId="33101B3A"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( 3</w:t>
      </w:r>
      <w:proofErr w:type="gramEnd"/>
      <w:r w:rsidRPr="006813C0">
        <w:rPr>
          <w:rFonts w:eastAsia="Times New Roman" w:cstheme="minorHAnsi"/>
          <w:color w:val="262626"/>
          <w:sz w:val="24"/>
          <w:szCs w:val="24"/>
          <w:lang w:eastAsia="de-DE"/>
        </w:rPr>
        <w:t xml:space="preserve"> ) Gegenüber Volljährigen kann sexuell bestimmtes Verhalten im Sinne des Absatzes 1 insbesondere unerwünscht sein, wenn die Person aufgrund ihres körperlichen oder psychischen Zustands in der Bildung oder Äußerung des Willens erheblich eingeschränkt ist.</w:t>
      </w:r>
    </w:p>
    <w:p w14:paraId="0BF151AC"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( 4</w:t>
      </w:r>
      <w:proofErr w:type="gramEnd"/>
      <w:r w:rsidRPr="006813C0">
        <w:rPr>
          <w:rFonts w:eastAsia="Times New Roman" w:cstheme="minorHAnsi"/>
          <w:color w:val="262626"/>
          <w:sz w:val="24"/>
          <w:szCs w:val="24"/>
          <w:lang w:eastAsia="de-DE"/>
        </w:rPr>
        <w:t xml:space="preserve"> ) Unangemessenen Verhaltensweisen, die die Grenze der sexualisierten Gewalt nicht überschreiten, ist insbesondere gegenüber haupt- und ehrenamtlichen Betreuungspersonen durch geeignete Normen, Regeln und Sensibilisierung, insbesondere im pädagogischen und pflegerischen Alltag, entgegenzutreten.</w:t>
      </w:r>
    </w:p>
    <w:p w14:paraId="43D6DF8B" w14:textId="269692ED" w:rsid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( 5</w:t>
      </w:r>
      <w:proofErr w:type="gramEnd"/>
      <w:r w:rsidRPr="006813C0">
        <w:rPr>
          <w:rFonts w:eastAsia="Times New Roman" w:cstheme="minorHAnsi"/>
          <w:color w:val="262626"/>
          <w:sz w:val="24"/>
          <w:szCs w:val="24"/>
          <w:lang w:eastAsia="de-DE"/>
        </w:rPr>
        <w:t xml:space="preserve"> ) Mitarbeiterinnen und Mitarbeiter im Sinne dieses Kirchengesetzes sind in einem öffentlich-rechtlichen oder privatrechtlichen Dienst- oder Arbeitsverhältnis oder zu ihrer Ausbildung Beschäftigte sowie ehrenamtlich Tätige bei kirchlichen Trägern.</w:t>
      </w:r>
    </w:p>
    <w:p w14:paraId="798F5E58" w14:textId="0C23446B" w:rsidR="006813C0" w:rsidRDefault="006813C0" w:rsidP="006813C0">
      <w:pPr>
        <w:shd w:val="clear" w:color="auto" w:fill="FFFFFF"/>
        <w:spacing w:after="0" w:line="240" w:lineRule="auto"/>
        <w:rPr>
          <w:rFonts w:eastAsia="Times New Roman" w:cstheme="minorHAnsi"/>
          <w:color w:val="262626"/>
          <w:sz w:val="24"/>
          <w:szCs w:val="24"/>
          <w:lang w:eastAsia="de-DE"/>
        </w:rPr>
      </w:pPr>
    </w:p>
    <w:p w14:paraId="40046675" w14:textId="03DB6914" w:rsidR="006813C0" w:rsidRDefault="006813C0" w:rsidP="006813C0">
      <w:pPr>
        <w:shd w:val="clear" w:color="auto" w:fill="FFFFFF"/>
        <w:spacing w:after="0" w:line="240" w:lineRule="auto"/>
        <w:rPr>
          <w:rFonts w:eastAsia="Times New Roman" w:cstheme="minorHAnsi"/>
          <w:color w:val="262626"/>
          <w:sz w:val="24"/>
          <w:szCs w:val="24"/>
          <w:lang w:eastAsia="de-DE"/>
        </w:rPr>
      </w:pPr>
    </w:p>
    <w:p w14:paraId="135ADE30"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
    <w:p w14:paraId="254AA9D8"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lastRenderedPageBreak/>
        <w:t>§ 2</w:t>
      </w:r>
      <w:r w:rsidRPr="006813C0">
        <w:rPr>
          <w:rFonts w:eastAsia="Times New Roman" w:cstheme="minorHAnsi"/>
          <w:b/>
          <w:bCs/>
          <w:color w:val="333333"/>
          <w:sz w:val="24"/>
          <w:szCs w:val="24"/>
          <w:lang w:eastAsia="de-DE"/>
        </w:rPr>
        <w:br/>
        <w:t>Grundsatz</w:t>
      </w:r>
    </w:p>
    <w:p w14:paraId="3C628ED9"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1 Zur Erfüllung des kirchlichen Auftrags gehört eine Kultur des Respekts und der grenzachtenden Kommunikation. 2 Dieser Kultur sind alle Mitarbeiterinnen und Mitarbeiter verpflichtet.</w:t>
      </w:r>
    </w:p>
    <w:p w14:paraId="2C0EEA55"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3</w:t>
      </w:r>
      <w:r w:rsidRPr="006813C0">
        <w:rPr>
          <w:rFonts w:eastAsia="Times New Roman" w:cstheme="minorHAnsi"/>
          <w:b/>
          <w:bCs/>
          <w:color w:val="333333"/>
          <w:sz w:val="24"/>
          <w:szCs w:val="24"/>
          <w:lang w:eastAsia="de-DE"/>
        </w:rPr>
        <w:br/>
        <w:t>Abstinenzgebot- und Abstandsgebot</w:t>
      </w:r>
    </w:p>
    <w:p w14:paraId="53408E01"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 xml:space="preserve">1 Sexuelle Kontakte zu Personen, die zu Mitarbeiterinnen und Mitarbeitern in einem </w:t>
      </w:r>
      <w:proofErr w:type="spellStart"/>
      <w:r w:rsidRPr="006813C0">
        <w:rPr>
          <w:rFonts w:eastAsia="Times New Roman" w:cstheme="minorHAnsi"/>
          <w:color w:val="262626"/>
          <w:sz w:val="24"/>
          <w:szCs w:val="24"/>
          <w:lang w:eastAsia="de-DE"/>
        </w:rPr>
        <w:t>Obhutsverhältnis</w:t>
      </w:r>
      <w:proofErr w:type="spellEnd"/>
      <w:r w:rsidRPr="006813C0">
        <w:rPr>
          <w:rFonts w:eastAsia="Times New Roman" w:cstheme="minorHAnsi"/>
          <w:color w:val="262626"/>
          <w:sz w:val="24"/>
          <w:szCs w:val="24"/>
          <w:lang w:eastAsia="de-DE"/>
        </w:rPr>
        <w:t>, in einer Seelsorgebeziehung oder in einer vergleichbaren Vertrauensbeziehung stehen, sind ihnen untersagt. 2 Macht- und Abhängigkeitsverhältnisse, die sich aus der Wahrnehmung der Aufgaben der Mitarbeiterinnen und Mitarbeiter ergeben, dürfen nicht zur Befriedigung eigener Interessen und Bedürfnisse, für sexuelle Kontakte oder andere grenzüberschreitende Verhaltensweisen missbraucht werden (Abstinenzgebot). 3 Mitarbeiterinnen und Mitarbeiter haben eine professionelle Balance von Nähe und Distanz zu wahren (Abstandsgebot).</w:t>
      </w:r>
    </w:p>
    <w:p w14:paraId="6E948F02"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4</w:t>
      </w:r>
      <w:r w:rsidRPr="006813C0">
        <w:rPr>
          <w:rFonts w:eastAsia="Times New Roman" w:cstheme="minorHAnsi"/>
          <w:b/>
          <w:bCs/>
          <w:color w:val="333333"/>
          <w:sz w:val="24"/>
          <w:szCs w:val="24"/>
          <w:lang w:eastAsia="de-DE"/>
        </w:rPr>
        <w:br/>
        <w:t>Schutz vor sexualisierter Gewalt</w:t>
      </w:r>
    </w:p>
    <w:p w14:paraId="543F26FA"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( 1</w:t>
      </w:r>
      <w:proofErr w:type="gramEnd"/>
      <w:r w:rsidRPr="006813C0">
        <w:rPr>
          <w:rFonts w:eastAsia="Times New Roman" w:cstheme="minorHAnsi"/>
          <w:color w:val="262626"/>
          <w:sz w:val="24"/>
          <w:szCs w:val="24"/>
          <w:lang w:eastAsia="de-DE"/>
        </w:rPr>
        <w:t xml:space="preserve"> ) Kirchliche Träger sind verpflichtet, bei der Wahrnehmung ihrer Aufgaben Mitarbeiterinnen und Mitarbeiter sowie diejenigen, die kirchliche Angebote wahrnehmen, insbesondere anvertraute Kinder und Jugendliche, vor allen Formen sexualisierter Gewalt zu schützen.</w:t>
      </w:r>
    </w:p>
    <w:p w14:paraId="15C72A5A"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( 2</w:t>
      </w:r>
      <w:proofErr w:type="gramEnd"/>
      <w:r w:rsidRPr="006813C0">
        <w:rPr>
          <w:rFonts w:eastAsia="Times New Roman" w:cstheme="minorHAnsi"/>
          <w:color w:val="262626"/>
          <w:sz w:val="24"/>
          <w:szCs w:val="24"/>
          <w:lang w:eastAsia="de-DE"/>
        </w:rPr>
        <w:t xml:space="preserve"> ) Die Vorschriften des staatlichen Rechts bleiben unberührt.</w:t>
      </w:r>
    </w:p>
    <w:p w14:paraId="14B076E5"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5</w:t>
      </w:r>
      <w:r w:rsidRPr="006813C0">
        <w:rPr>
          <w:rFonts w:eastAsia="Times New Roman" w:cstheme="minorHAnsi"/>
          <w:b/>
          <w:bCs/>
          <w:color w:val="333333"/>
          <w:sz w:val="24"/>
          <w:szCs w:val="24"/>
          <w:lang w:eastAsia="de-DE"/>
        </w:rPr>
        <w:br/>
        <w:t>Prävention gegen sexualisierte Gewalt, Präventionsbeauftragte</w:t>
      </w:r>
    </w:p>
    <w:p w14:paraId="50CDEB82"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( 1</w:t>
      </w:r>
      <w:proofErr w:type="gramEnd"/>
      <w:r w:rsidRPr="006813C0">
        <w:rPr>
          <w:rFonts w:eastAsia="Times New Roman" w:cstheme="minorHAnsi"/>
          <w:color w:val="262626"/>
          <w:sz w:val="24"/>
          <w:szCs w:val="24"/>
          <w:lang w:eastAsia="de-DE"/>
        </w:rPr>
        <w:t xml:space="preserve"> ) 1 Kirchliche Träger stellen sicher, dass unter ihrer Verantwortung keine Person, die wegen einer in § 72a Achtes Buch Sozialgesetzbuch – Kinder und Jugendhilfe – in der Fassung der Bekanntmachung vom 11. September 2012 (BGBl. I S. 2022), das zuletzt durch Artikel 10 Absatz 10 des Gesetzes vom 30. Oktober 2017 (BGBl. I S. 3618) geändert worden ist, in der jeweils geltenden Fassung bezeichneten Straftat gegen die sexuelle Selbstbestimmung rechtskräftig verurteilt worden ist, Kinder und Jugendliche und andere Schutzbefohlene beaufsichtigt, betreut, erzieht oder ausbildet oder einen vergleichbaren Kontakt hat. 2 Sie haben sich von allen Personen, die beruflich in der Kinder- und Jugendarbeit oder in kinder- und jugendnahen Bereichen tätig sind, bei der Einstellung und in regelmäßigen Abständen, mindestens nach jeweils fünf Jahren, ein erweitertes Führungszeugnis nach § 30a Bundeszentralregistergesetz in der Fassung der Bekanntmachung vom 21. September 1984 (BGBl. I S. 1229, 1985 </w:t>
      </w:r>
      <w:proofErr w:type="gramStart"/>
      <w:r w:rsidRPr="006813C0">
        <w:rPr>
          <w:rFonts w:eastAsia="Times New Roman" w:cstheme="minorHAnsi"/>
          <w:color w:val="262626"/>
          <w:sz w:val="24"/>
          <w:szCs w:val="24"/>
          <w:lang w:eastAsia="de-DE"/>
        </w:rPr>
        <w:t>I</w:t>
      </w:r>
      <w:proofErr w:type="gramEnd"/>
      <w:r w:rsidRPr="006813C0">
        <w:rPr>
          <w:rFonts w:eastAsia="Times New Roman" w:cstheme="minorHAnsi"/>
          <w:color w:val="262626"/>
          <w:sz w:val="24"/>
          <w:szCs w:val="24"/>
          <w:lang w:eastAsia="de-DE"/>
        </w:rPr>
        <w:t xml:space="preserve"> S. 195), das zuletzt durch Gesetz vom 18. Juli 2017 (BGBl. I S. 2732) m. w. N. vom 29. Juli 2017 geändert worden ist, in der jeweils geltenden Fassung vorlegen zu lassen. 3 Von Ehrenamtlichen soll je nach Art, Intensität und Dauer des Kontakts dieser Personen mit Kindern und Jugendlichen die Vorlage eines erweiterten Führungszeugnisses verlangt werden.</w:t>
      </w:r>
    </w:p>
    <w:p w14:paraId="06D0BC89"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( 2</w:t>
      </w:r>
      <w:proofErr w:type="gramEnd"/>
      <w:r w:rsidRPr="006813C0">
        <w:rPr>
          <w:rFonts w:eastAsia="Times New Roman" w:cstheme="minorHAnsi"/>
          <w:color w:val="262626"/>
          <w:sz w:val="24"/>
          <w:szCs w:val="24"/>
          <w:lang w:eastAsia="de-DE"/>
        </w:rPr>
        <w:t xml:space="preserve"> ) 1 Kirchliche Träger haben die Mitarbeiterinnen und Mitarbeiter, die insbesondere in der Kinder- und Jugendarbeit und im kinder- und jugendnahen Bereich tätig sind, aufzufordern, sich mit den Inhalten einer Selbstverpflichtung auseinanderzusetzen. 2 Die Erklärung der Selbstverpflichtung wird den Mitarbeiterinnen und Mitarbeitern durch die kirchlichen Träger </w:t>
      </w:r>
      <w:r w:rsidRPr="006813C0">
        <w:rPr>
          <w:rFonts w:eastAsia="Times New Roman" w:cstheme="minorHAnsi"/>
          <w:color w:val="262626"/>
          <w:sz w:val="24"/>
          <w:szCs w:val="24"/>
          <w:lang w:eastAsia="de-DE"/>
        </w:rPr>
        <w:lastRenderedPageBreak/>
        <w:t>ausgehändigt. 3 Die kirchlichen Träger sind verpflichtet, regelmäßig Schulungen zum Inhalt der Selbstverpflichtung anzubieten. 4 Die Schulungsinhalte orientieren sich an den Vorgaben des </w:t>
      </w:r>
      <w:hyperlink r:id="rId5" w:anchor="s00000012" w:history="1">
        <w:r w:rsidRPr="006813C0">
          <w:rPr>
            <w:rFonts w:eastAsia="Times New Roman" w:cstheme="minorHAnsi"/>
            <w:color w:val="8503AC"/>
            <w:sz w:val="24"/>
            <w:szCs w:val="24"/>
            <w:lang w:eastAsia="de-DE"/>
          </w:rPr>
          <w:t>§ 8</w:t>
        </w:r>
      </w:hyperlink>
      <w:r w:rsidRPr="006813C0">
        <w:rPr>
          <w:rFonts w:eastAsia="Times New Roman" w:cstheme="minorHAnsi"/>
          <w:color w:val="262626"/>
          <w:sz w:val="24"/>
          <w:szCs w:val="24"/>
          <w:lang w:eastAsia="de-DE"/>
        </w:rPr>
        <w:t>. 5 Inhalte der Schulungen sind insbesondere die Prävention zum Schutz vor sexualisierter Gewalt, das Abstinenzgebot und das Abstandsgebot sowie die Melde- und Beratungspflicht. 6 Die Mitarbeiterinnen und Mitarbeiter sind verpflichtet, an den Schulungen teilzunehmen und sich mit den Inhalten der Selbstverpflichtung auseinanderzusetzen. 7 Die Teilnahme ist den Mitarbeiterinnen bzw. den Mitarbeitern zu bestätigen und aktenkundig zu machen.</w:t>
      </w:r>
    </w:p>
    <w:p w14:paraId="10DD933D"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( 3</w:t>
      </w:r>
      <w:proofErr w:type="gramEnd"/>
      <w:r w:rsidRPr="006813C0">
        <w:rPr>
          <w:rFonts w:eastAsia="Times New Roman" w:cstheme="minorHAnsi"/>
          <w:color w:val="262626"/>
          <w:sz w:val="24"/>
          <w:szCs w:val="24"/>
          <w:lang w:eastAsia="de-DE"/>
        </w:rPr>
        <w:t xml:space="preserve"> ) 1 Die Kirchenkreise und die Hauptbereiche unterstützen die Kirchengemeinden und die anderen kirchlichen Träger im Kirchenkreis in ihrer Präventionsarbeit. 2 Zu diesem Zweck bestellen die Kirchenkreise und die Hauptbereiche je für sich oder mit mehreren gemeinsam eine Präventionsbeauftragte bzw. einen Präventionsbeauftragten mit entsprechender fachlicher Qualifikation. 3 Die Diakonischen Werke – Landesverbände sollen für ihren Bereich die Bestellung von Präventionsbeauftragten regeln.</w:t>
      </w:r>
    </w:p>
    <w:p w14:paraId="1F6638DE"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( 4</w:t>
      </w:r>
      <w:proofErr w:type="gramEnd"/>
      <w:r w:rsidRPr="006813C0">
        <w:rPr>
          <w:rFonts w:eastAsia="Times New Roman" w:cstheme="minorHAnsi"/>
          <w:color w:val="262626"/>
          <w:sz w:val="24"/>
          <w:szCs w:val="24"/>
          <w:lang w:eastAsia="de-DE"/>
        </w:rPr>
        <w:t xml:space="preserve"> ) 1 Für die kirchlichen Träger wird ein Rahmenschutzkonzept der Nordkirche zur Prävention und Intervention in Fällen sexualisierter Gewalt entwickelt, das verbindlich ist. 2 Auf der Grundlage des Rahmenschutzkonzepts soll jeder kirchliche Träger mit Unterstützung der Präventionsbeauftragten eine Risikoanalyse durchführen und ein Schutzkonzept entwickeln. 3 Die Umsetzung der Vorgaben des Satzes 2 ist der jeweiligen aufsichtführenden Stelle nachzuweisen.</w:t>
      </w:r>
    </w:p>
    <w:p w14:paraId="2FA06ED9"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6</w:t>
      </w:r>
      <w:r w:rsidRPr="006813C0">
        <w:rPr>
          <w:rFonts w:eastAsia="Times New Roman" w:cstheme="minorHAnsi"/>
          <w:b/>
          <w:bCs/>
          <w:color w:val="333333"/>
          <w:sz w:val="24"/>
          <w:szCs w:val="24"/>
          <w:lang w:eastAsia="de-DE"/>
        </w:rPr>
        <w:br/>
        <w:t>Meldepflicht, Meldebeauftragte und Intervention</w:t>
      </w:r>
    </w:p>
    <w:p w14:paraId="38C93846"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( 1</w:t>
      </w:r>
      <w:proofErr w:type="gramEnd"/>
      <w:r w:rsidRPr="006813C0">
        <w:rPr>
          <w:rFonts w:eastAsia="Times New Roman" w:cstheme="minorHAnsi"/>
          <w:color w:val="262626"/>
          <w:sz w:val="24"/>
          <w:szCs w:val="24"/>
          <w:lang w:eastAsia="de-DE"/>
        </w:rPr>
        <w:t xml:space="preserve"> ) 1 Jede Mitarbeiterin bzw. jeder Mitarbeiter hat zureichende Anhaltspunkte für den Verdacht einer Verletzung des Abstinenzgebotes und des Abstandsgebotes oder sexualisierter Gewalt im kirchlichen Bereich unverzüglich der bzw. dem für seinen kirchlichen Träger zuständigen Beauftragten zu melden (Meldepflicht). 2 Sie sind berechtigt und verpflichtet, sich zur Einschätzung eines unklaren Vorfalls durch die bzw. den zuständigen Beauftragten beraten zu lassen.</w:t>
      </w:r>
    </w:p>
    <w:p w14:paraId="1A80AD2C"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( 2</w:t>
      </w:r>
      <w:proofErr w:type="gramEnd"/>
      <w:r w:rsidRPr="006813C0">
        <w:rPr>
          <w:rFonts w:eastAsia="Times New Roman" w:cstheme="minorHAnsi"/>
          <w:color w:val="262626"/>
          <w:sz w:val="24"/>
          <w:szCs w:val="24"/>
          <w:lang w:eastAsia="de-DE"/>
        </w:rPr>
        <w:t xml:space="preserve"> ) 1 Die Kirchenkreise und Hauptbereiche bestellen je für sich oder mit mehreren gemeinsam eine unabhängige Beauftragte bzw. einen unabhängigen Beauftragten mit entsprechender fachlicher Qualifikation. 2 Die bzw. der Meldebeauftragte nimmt die Informationen nach Absatz 1 entgegen und leitet diese an den jeweils zuständigen kirchlichen Träger oder die jeweilige zuständige dienstaufsichtführende Stelle weiter. 3 Die Diakonischen Werke – Landesverbände sollen für ihren Bereich die Bestellung von Meldebeauftragten regeln.</w:t>
      </w:r>
    </w:p>
    <w:p w14:paraId="55803F5C"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( 3</w:t>
      </w:r>
      <w:proofErr w:type="gramEnd"/>
      <w:r w:rsidRPr="006813C0">
        <w:rPr>
          <w:rFonts w:eastAsia="Times New Roman" w:cstheme="minorHAnsi"/>
          <w:color w:val="262626"/>
          <w:sz w:val="24"/>
          <w:szCs w:val="24"/>
          <w:lang w:eastAsia="de-DE"/>
        </w:rPr>
        <w:t xml:space="preserve"> ) Alle kirchlichen Träger sind verpflichtet, dafür Sorge zu tragen, dass Meldungen über Fälle sexualisierter Gewalt bearbeitet und die notwendigen Maßnahmen veranlasst werden, um die Gewalt zu beenden, die betroffenen Personen zu schützen und weitere Vorfälle zu verhindern (Intervention).</w:t>
      </w:r>
    </w:p>
    <w:p w14:paraId="340B861D" w14:textId="200A9A93" w:rsidR="006813C0" w:rsidRDefault="006813C0" w:rsidP="006813C0">
      <w:pPr>
        <w:shd w:val="clear" w:color="auto" w:fill="FFFFFF"/>
        <w:spacing w:after="0"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( 4 ) Arbeits- und dienstrechtliche Pflichten, insbesondere zum Schutz des Beichtgeheimnisses und der seelsorgerlichen Schweigepflicht sowie Mitteilungspflichten und erforderliche Maßnahmen im Fall des Verdachts einer Verletzung von Pflichten aus dem Arbeits- oder Dienstverhältnis bleiben unberührt.</w:t>
      </w:r>
    </w:p>
    <w:p w14:paraId="51D8C9A6" w14:textId="04BCD3C1" w:rsidR="006813C0" w:rsidRDefault="006813C0" w:rsidP="006813C0">
      <w:pPr>
        <w:shd w:val="clear" w:color="auto" w:fill="FFFFFF"/>
        <w:spacing w:after="0" w:line="240" w:lineRule="auto"/>
        <w:rPr>
          <w:rFonts w:eastAsia="Times New Roman" w:cstheme="minorHAnsi"/>
          <w:color w:val="262626"/>
          <w:sz w:val="24"/>
          <w:szCs w:val="24"/>
          <w:lang w:eastAsia="de-DE"/>
        </w:rPr>
      </w:pPr>
    </w:p>
    <w:p w14:paraId="5B143C8C"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
    <w:p w14:paraId="3924CA45"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lastRenderedPageBreak/>
        <w:t>§ 7</w:t>
      </w:r>
      <w:r w:rsidRPr="006813C0">
        <w:rPr>
          <w:rFonts w:eastAsia="Times New Roman" w:cstheme="minorHAnsi"/>
          <w:b/>
          <w:bCs/>
          <w:color w:val="333333"/>
          <w:sz w:val="24"/>
          <w:szCs w:val="24"/>
          <w:lang w:eastAsia="de-DE"/>
        </w:rPr>
        <w:br/>
        <w:t>Aufgaben der Landeskirche, Fachstelle</w:t>
      </w:r>
    </w:p>
    <w:p w14:paraId="53709AB2"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( 1</w:t>
      </w:r>
      <w:proofErr w:type="gramEnd"/>
      <w:r w:rsidRPr="006813C0">
        <w:rPr>
          <w:rFonts w:eastAsia="Times New Roman" w:cstheme="minorHAnsi"/>
          <w:color w:val="262626"/>
          <w:sz w:val="24"/>
          <w:szCs w:val="24"/>
          <w:lang w:eastAsia="de-DE"/>
        </w:rPr>
        <w:t xml:space="preserve"> ) 1 Die Landeskirche unterstützt die Beauftragten in ihrer Präventionsarbeit und in der Aus-, Fort- und Weiterbildung in Prävention und Intervention gegen sexualisierte Gewalt. 2 Zu diesem Zweck richtet die Landeskirche eine Fachstelle gegen sexualisierte Gewalt ein (Fachstelle). 3 Die Fachstelle ist Ansprech- und Beratungsstelle in der Präventionsarbeit. 4 </w:t>
      </w:r>
      <w:proofErr w:type="gramStart"/>
      <w:r w:rsidRPr="006813C0">
        <w:rPr>
          <w:rFonts w:eastAsia="Times New Roman" w:cstheme="minorHAnsi"/>
          <w:color w:val="262626"/>
          <w:sz w:val="24"/>
          <w:szCs w:val="24"/>
          <w:lang w:eastAsia="de-DE"/>
        </w:rPr>
        <w:t>Gleichzeitig</w:t>
      </w:r>
      <w:proofErr w:type="gramEnd"/>
      <w:r w:rsidRPr="006813C0">
        <w:rPr>
          <w:rFonts w:eastAsia="Times New Roman" w:cstheme="minorHAnsi"/>
          <w:color w:val="262626"/>
          <w:sz w:val="24"/>
          <w:szCs w:val="24"/>
          <w:lang w:eastAsia="de-DE"/>
        </w:rPr>
        <w:t xml:space="preserve"> nimmt sie die Aufgaben einer Präventions- und Meldebeauftragten der Landeskirche wahr.</w:t>
      </w:r>
    </w:p>
    <w:p w14:paraId="21EB9281"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( 2</w:t>
      </w:r>
      <w:proofErr w:type="gramEnd"/>
      <w:r w:rsidRPr="006813C0">
        <w:rPr>
          <w:rFonts w:eastAsia="Times New Roman" w:cstheme="minorHAnsi"/>
          <w:color w:val="262626"/>
          <w:sz w:val="24"/>
          <w:szCs w:val="24"/>
          <w:lang w:eastAsia="de-DE"/>
        </w:rPr>
        <w:t xml:space="preserve"> ) 1 Die Fachstelle entwickelt Standards für die Präventionsarbeit sowie für den Umgang mit Vorfällen sexualisierter Gewalt. 2 Sie unterstützt die kirchlichen Träger, die notwendigen Maßnahmen zum Schutz der Betroffenen zu ergreifen. 3 Arbeits- und dienstrechtliche Maßnahmen und Zuständigkeiten bleiben davon unberührt.</w:t>
      </w:r>
    </w:p>
    <w:p w14:paraId="656031A8"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( 3</w:t>
      </w:r>
      <w:proofErr w:type="gramEnd"/>
      <w:r w:rsidRPr="006813C0">
        <w:rPr>
          <w:rFonts w:eastAsia="Times New Roman" w:cstheme="minorHAnsi"/>
          <w:color w:val="262626"/>
          <w:sz w:val="24"/>
          <w:szCs w:val="24"/>
          <w:lang w:eastAsia="de-DE"/>
        </w:rPr>
        <w:t xml:space="preserve"> ) 1 Die Fachstelle erarbeitet Informationsmaterial, entwickelt Aus-, Fort- und Weiterbildung zur Prävention. 2 Sie koordiniert die Bildungsarbeit zur Prävention und unterstützt bei der Sicherung der Intervention durch den Aufbau eines Kompetenz-Netzwerkes.</w:t>
      </w:r>
    </w:p>
    <w:p w14:paraId="365DEF38"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8</w:t>
      </w:r>
      <w:r w:rsidRPr="006813C0">
        <w:rPr>
          <w:rFonts w:eastAsia="Times New Roman" w:cstheme="minorHAnsi"/>
          <w:b/>
          <w:bCs/>
          <w:color w:val="333333"/>
          <w:sz w:val="24"/>
          <w:szCs w:val="24"/>
          <w:lang w:eastAsia="de-DE"/>
        </w:rPr>
        <w:br/>
        <w:t>Aus-, Fort- und Weiterbildung</w:t>
      </w:r>
    </w:p>
    <w:p w14:paraId="4CAF147B"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( 1</w:t>
      </w:r>
      <w:proofErr w:type="gramEnd"/>
      <w:r w:rsidRPr="006813C0">
        <w:rPr>
          <w:rFonts w:eastAsia="Times New Roman" w:cstheme="minorHAnsi"/>
          <w:color w:val="262626"/>
          <w:sz w:val="24"/>
          <w:szCs w:val="24"/>
          <w:lang w:eastAsia="de-DE"/>
        </w:rPr>
        <w:t xml:space="preserve"> ) 1 Die Mitarbeiterinnen und Mitarbeiter sollen in ihrer Ausbildung sowie in ihrer Tätigkeit in geeigneter Form mit grenzachtender Kommunikation, der Prävention zum Schutz vor sexualisierter Gewalt, dem Abstinenzgebot und dem Abstandsgebot sowie der Melde- und Beratungspflicht vertraut gemacht werden. 2 Die kirchlichen Träger stellen sicher, dass die Inhalte nach Satz 1 zu den Grundlagen der Aus-, Fort- und Weiterbildung der Mitarbeiterinnen und Mitarbeiter gehören.</w:t>
      </w:r>
    </w:p>
    <w:p w14:paraId="73B1840E"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( 2</w:t>
      </w:r>
      <w:proofErr w:type="gramEnd"/>
      <w:r w:rsidRPr="006813C0">
        <w:rPr>
          <w:rFonts w:eastAsia="Times New Roman" w:cstheme="minorHAnsi"/>
          <w:color w:val="262626"/>
          <w:sz w:val="24"/>
          <w:szCs w:val="24"/>
          <w:lang w:eastAsia="de-DE"/>
        </w:rPr>
        <w:t xml:space="preserve"> ) 1 Einrichtungen der Aus-, Fort- und Weiterbildung in kirchlicher Trägerschaft sollen in geeigneter Weise für die Problematik sexualisierter Gewalt sensibilisieren und die Prävention zum Schutz vor sexualisierter Gewalt zum Inhalt ihrer Angebote machen. 2 Dazu gehören insbesondere Informationen über interne und externe Beratungsstellen, Verfahrenswege bei Anzeichen sexualisierter Gewalt und Hilfen für von sexualisierter Gewalt Betroffener sowie Angebote für die persönliche Auseinandersetzung mit dem Thema. 3 Sie werden dabei durch die Fachstelle unterstützt.</w:t>
      </w:r>
    </w:p>
    <w:p w14:paraId="7C23F0F6"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9</w:t>
      </w:r>
      <w:r w:rsidRPr="006813C0">
        <w:rPr>
          <w:rFonts w:eastAsia="Times New Roman" w:cstheme="minorHAnsi"/>
          <w:b/>
          <w:bCs/>
          <w:color w:val="333333"/>
          <w:sz w:val="24"/>
          <w:szCs w:val="24"/>
          <w:lang w:eastAsia="de-DE"/>
        </w:rPr>
        <w:br/>
        <w:t>Hilfe für Betroffene</w:t>
      </w:r>
    </w:p>
    <w:p w14:paraId="09E01285"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( 1</w:t>
      </w:r>
      <w:proofErr w:type="gramEnd"/>
      <w:r w:rsidRPr="006813C0">
        <w:rPr>
          <w:rFonts w:eastAsia="Times New Roman" w:cstheme="minorHAnsi"/>
          <w:color w:val="262626"/>
          <w:sz w:val="24"/>
          <w:szCs w:val="24"/>
          <w:lang w:eastAsia="de-DE"/>
        </w:rPr>
        <w:t xml:space="preserve"> ) Die Landeskirche bietet Betroffenen von sexualisierter Gewalt durch Mitarbeiterinnen und Mitarbeiter der Evangelisch-Lutherischen Kirche in Norddeutschland und ihren Rechtsvorgängerinnen in Anerkennung ihres Leids und in Verantwortung für die Verfehlung der Institutionen Hilfe an.</w:t>
      </w:r>
    </w:p>
    <w:p w14:paraId="7433233F"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proofErr w:type="gramStart"/>
      <w:r w:rsidRPr="006813C0">
        <w:rPr>
          <w:rFonts w:eastAsia="Times New Roman" w:cstheme="minorHAnsi"/>
          <w:color w:val="262626"/>
          <w:sz w:val="24"/>
          <w:szCs w:val="24"/>
          <w:lang w:eastAsia="de-DE"/>
        </w:rPr>
        <w:t>( 2</w:t>
      </w:r>
      <w:proofErr w:type="gramEnd"/>
      <w:r w:rsidRPr="006813C0">
        <w:rPr>
          <w:rFonts w:eastAsia="Times New Roman" w:cstheme="minorHAnsi"/>
          <w:color w:val="262626"/>
          <w:sz w:val="24"/>
          <w:szCs w:val="24"/>
          <w:lang w:eastAsia="de-DE"/>
        </w:rPr>
        <w:t xml:space="preserve"> ) 1 Leistungen in Anerkennung erlittenen Unrechts (Anerkennungs- und Unterstützungsleistungen) werden von der Landeskirche gewährt, sofern die Voraussetzungen für eine Bewilligung vorliegen. 2 Die Leistungen sind freiwillig und werden ohne Anerkennung einer Rechtspflicht gezahlt. 3 Der Rechtsweg ist ausgeschlossen. 4 Der kirchliche Träger, in dem die sexualisierte Gewalt stattgefunden hat, muss sich an den Anerkennungs- und Unterstützungsleistungen beteiligen. 5 Über die Bewilligung von Anerkennungs- und Unterstützungsleistungen entscheidet eine von der Kirchenleitung eingesetzte Kommission. 6 Diese ist in ihrer Entscheidung unabhängig.</w:t>
      </w:r>
    </w:p>
    <w:p w14:paraId="68DC2B29"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lastRenderedPageBreak/>
        <w:t>§ 10</w:t>
      </w:r>
      <w:r w:rsidRPr="006813C0">
        <w:rPr>
          <w:rFonts w:eastAsia="Times New Roman" w:cstheme="minorHAnsi"/>
          <w:b/>
          <w:bCs/>
          <w:color w:val="333333"/>
          <w:sz w:val="24"/>
          <w:szCs w:val="24"/>
          <w:lang w:eastAsia="de-DE"/>
        </w:rPr>
        <w:br/>
        <w:t>Schweigepflicht</w:t>
      </w:r>
    </w:p>
    <w:p w14:paraId="6170A6B9"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1 Alle Personen, die Aufgaben nach diesem Kirchengesetz wahrnehmen oder wahrgenommen haben, sind verpflichtet, über die ihnen dabei bekanntgewordenen Tatsachen Stillschweigen zu bewahren. 2 </w:t>
      </w:r>
      <w:hyperlink r:id="rId6" w:anchor="s00000014" w:history="1">
        <w:r w:rsidRPr="006813C0">
          <w:rPr>
            <w:rFonts w:eastAsia="Times New Roman" w:cstheme="minorHAnsi"/>
            <w:color w:val="8503AC"/>
            <w:sz w:val="24"/>
            <w:szCs w:val="24"/>
            <w:lang w:eastAsia="de-DE"/>
          </w:rPr>
          <w:t>§ 6</w:t>
        </w:r>
      </w:hyperlink>
      <w:r w:rsidRPr="006813C0">
        <w:rPr>
          <w:rFonts w:eastAsia="Times New Roman" w:cstheme="minorHAnsi"/>
          <w:color w:val="262626"/>
          <w:sz w:val="24"/>
          <w:szCs w:val="24"/>
          <w:lang w:eastAsia="de-DE"/>
        </w:rPr>
        <w:t> und Aussagepflichten nach dem allgemeinen Recht bleiben unberührt.</w:t>
      </w:r>
    </w:p>
    <w:p w14:paraId="39B8F773"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11</w:t>
      </w:r>
      <w:r w:rsidRPr="006813C0">
        <w:rPr>
          <w:rFonts w:eastAsia="Times New Roman" w:cstheme="minorHAnsi"/>
          <w:b/>
          <w:bCs/>
          <w:color w:val="333333"/>
          <w:sz w:val="24"/>
          <w:szCs w:val="24"/>
          <w:lang w:eastAsia="de-DE"/>
        </w:rPr>
        <w:br/>
        <w:t>Verordnungsermächtigung</w:t>
      </w:r>
    </w:p>
    <w:p w14:paraId="07F9D45E"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Die Kirchenleitung regelt durch Rechtsverordnung:</w:t>
      </w:r>
    </w:p>
    <w:p w14:paraId="1654C89B" w14:textId="77777777" w:rsidR="006813C0" w:rsidRPr="006813C0" w:rsidRDefault="006813C0" w:rsidP="006813C0">
      <w:pPr>
        <w:numPr>
          <w:ilvl w:val="0"/>
          <w:numId w:val="1"/>
        </w:numPr>
        <w:shd w:val="clear" w:color="auto" w:fill="FFFFFF"/>
        <w:spacing w:before="100" w:beforeAutospacing="1" w:after="100" w:afterAutospacing="1"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das Rahmenschutzkonzept nach </w:t>
      </w:r>
      <w:hyperlink r:id="rId7" w:anchor="s00000009" w:history="1">
        <w:r w:rsidRPr="006813C0">
          <w:rPr>
            <w:rFonts w:eastAsia="Times New Roman" w:cstheme="minorHAnsi"/>
            <w:color w:val="8503AC"/>
            <w:sz w:val="24"/>
            <w:szCs w:val="24"/>
            <w:lang w:eastAsia="de-DE"/>
          </w:rPr>
          <w:t>§ 5</w:t>
        </w:r>
      </w:hyperlink>
      <w:r w:rsidRPr="006813C0">
        <w:rPr>
          <w:rFonts w:eastAsia="Times New Roman" w:cstheme="minorHAnsi"/>
          <w:color w:val="262626"/>
          <w:sz w:val="24"/>
          <w:szCs w:val="24"/>
          <w:lang w:eastAsia="de-DE"/>
        </w:rPr>
        <w:t> Absatz 4 Satz 1,</w:t>
      </w:r>
    </w:p>
    <w:p w14:paraId="4DA0AD76" w14:textId="77777777" w:rsidR="006813C0" w:rsidRPr="006813C0" w:rsidRDefault="006813C0" w:rsidP="006813C0">
      <w:pPr>
        <w:numPr>
          <w:ilvl w:val="0"/>
          <w:numId w:val="1"/>
        </w:numPr>
        <w:shd w:val="clear" w:color="auto" w:fill="FFFFFF"/>
        <w:spacing w:before="100" w:beforeAutospacing="1" w:after="100" w:afterAutospacing="1"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das Nähere über die Beauftragung, die Sicherung der Unabhängigkeit der Beauftragten,</w:t>
      </w:r>
    </w:p>
    <w:p w14:paraId="282B68D4" w14:textId="77777777" w:rsidR="006813C0" w:rsidRPr="006813C0" w:rsidRDefault="006813C0" w:rsidP="006813C0">
      <w:pPr>
        <w:numPr>
          <w:ilvl w:val="0"/>
          <w:numId w:val="1"/>
        </w:numPr>
        <w:shd w:val="clear" w:color="auto" w:fill="FFFFFF"/>
        <w:spacing w:before="100" w:beforeAutospacing="1" w:after="100" w:afterAutospacing="1"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das Nähere über die Meldung sowie die daraufhin zu ergreifenden Maßnahmen nach </w:t>
      </w:r>
      <w:hyperlink r:id="rId8" w:anchor="s00000010" w:history="1">
        <w:r w:rsidRPr="006813C0">
          <w:rPr>
            <w:rFonts w:eastAsia="Times New Roman" w:cstheme="minorHAnsi"/>
            <w:color w:val="8503AC"/>
            <w:sz w:val="24"/>
            <w:szCs w:val="24"/>
            <w:lang w:eastAsia="de-DE"/>
          </w:rPr>
          <w:t>§ 6</w:t>
        </w:r>
      </w:hyperlink>
      <w:r w:rsidRPr="006813C0">
        <w:rPr>
          <w:rFonts w:eastAsia="Times New Roman" w:cstheme="minorHAnsi"/>
          <w:color w:val="262626"/>
          <w:sz w:val="24"/>
          <w:szCs w:val="24"/>
          <w:lang w:eastAsia="de-DE"/>
        </w:rPr>
        <w:t>,</w:t>
      </w:r>
    </w:p>
    <w:p w14:paraId="24614224" w14:textId="77777777" w:rsidR="006813C0" w:rsidRPr="006813C0" w:rsidRDefault="006813C0" w:rsidP="006813C0">
      <w:pPr>
        <w:numPr>
          <w:ilvl w:val="0"/>
          <w:numId w:val="1"/>
        </w:numPr>
        <w:shd w:val="clear" w:color="auto" w:fill="FFFFFF"/>
        <w:spacing w:before="100" w:beforeAutospacing="1" w:after="100" w:afterAutospacing="1"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das Nähere zur Ausgestaltung der Fachstelle nach </w:t>
      </w:r>
      <w:hyperlink r:id="rId9" w:anchor="s00000011" w:history="1">
        <w:r w:rsidRPr="006813C0">
          <w:rPr>
            <w:rFonts w:eastAsia="Times New Roman" w:cstheme="minorHAnsi"/>
            <w:color w:val="8503AC"/>
            <w:sz w:val="24"/>
            <w:szCs w:val="24"/>
            <w:lang w:eastAsia="de-DE"/>
          </w:rPr>
          <w:t>§ 7</w:t>
        </w:r>
      </w:hyperlink>
      <w:r w:rsidRPr="006813C0">
        <w:rPr>
          <w:rFonts w:eastAsia="Times New Roman" w:cstheme="minorHAnsi"/>
          <w:color w:val="262626"/>
          <w:sz w:val="24"/>
          <w:szCs w:val="24"/>
          <w:lang w:eastAsia="de-DE"/>
        </w:rPr>
        <w:t>,</w:t>
      </w:r>
    </w:p>
    <w:p w14:paraId="4233309A" w14:textId="77777777" w:rsidR="006813C0" w:rsidRPr="006813C0" w:rsidRDefault="006813C0" w:rsidP="006813C0">
      <w:pPr>
        <w:numPr>
          <w:ilvl w:val="0"/>
          <w:numId w:val="1"/>
        </w:numPr>
        <w:shd w:val="clear" w:color="auto" w:fill="FFFFFF"/>
        <w:spacing w:before="100" w:beforeAutospacing="1" w:after="100" w:afterAutospacing="1"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das Nähere zur Ausgestaltung der Aus-, Fort- und Weiterbildung nach </w:t>
      </w:r>
      <w:hyperlink r:id="rId10" w:anchor="s00000012" w:history="1">
        <w:r w:rsidRPr="006813C0">
          <w:rPr>
            <w:rFonts w:eastAsia="Times New Roman" w:cstheme="minorHAnsi"/>
            <w:color w:val="8503AC"/>
            <w:sz w:val="24"/>
            <w:szCs w:val="24"/>
            <w:lang w:eastAsia="de-DE"/>
          </w:rPr>
          <w:t>§ 8</w:t>
        </w:r>
      </w:hyperlink>
      <w:r w:rsidRPr="006813C0">
        <w:rPr>
          <w:rFonts w:eastAsia="Times New Roman" w:cstheme="minorHAnsi"/>
          <w:color w:val="262626"/>
          <w:sz w:val="24"/>
          <w:szCs w:val="24"/>
          <w:lang w:eastAsia="de-DE"/>
        </w:rPr>
        <w:t>,</w:t>
      </w:r>
    </w:p>
    <w:p w14:paraId="40DC4F66" w14:textId="77777777" w:rsidR="006813C0" w:rsidRPr="006813C0" w:rsidRDefault="006813C0" w:rsidP="006813C0">
      <w:pPr>
        <w:numPr>
          <w:ilvl w:val="0"/>
          <w:numId w:val="1"/>
        </w:numPr>
        <w:shd w:val="clear" w:color="auto" w:fill="FFFFFF"/>
        <w:spacing w:before="100" w:beforeAutospacing="1" w:after="100" w:afterAutospacing="1"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das Nähere zur Bildung der Kommission nach </w:t>
      </w:r>
      <w:hyperlink r:id="rId11" w:anchor="s00000013" w:history="1">
        <w:r w:rsidRPr="006813C0">
          <w:rPr>
            <w:rFonts w:eastAsia="Times New Roman" w:cstheme="minorHAnsi"/>
            <w:color w:val="8503AC"/>
            <w:sz w:val="24"/>
            <w:szCs w:val="24"/>
            <w:lang w:eastAsia="de-DE"/>
          </w:rPr>
          <w:t>§ 9</w:t>
        </w:r>
      </w:hyperlink>
      <w:r w:rsidRPr="006813C0">
        <w:rPr>
          <w:rFonts w:eastAsia="Times New Roman" w:cstheme="minorHAnsi"/>
          <w:color w:val="262626"/>
          <w:sz w:val="24"/>
          <w:szCs w:val="24"/>
          <w:lang w:eastAsia="de-DE"/>
        </w:rPr>
        <w:t> Absatz 2 Satz 5, zur Amtszeit ihrer Mitglieder, zu den Grundsätzen ihrer Arbeit, zur Möglichkeit der Überprüfung ihrer Entscheidung, zu den Voraussetzungen von Anerkennungs- und Unterstützungsleistungen sowie zum Recht auf Auskunft aus relevanten Akten und Dokumenten.</w:t>
      </w:r>
    </w:p>
    <w:p w14:paraId="5EDED285"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12</w:t>
      </w:r>
      <w:r w:rsidRPr="006813C0">
        <w:rPr>
          <w:rFonts w:eastAsia="Times New Roman" w:cstheme="minorHAnsi"/>
          <w:b/>
          <w:bCs/>
          <w:color w:val="333333"/>
          <w:sz w:val="24"/>
          <w:szCs w:val="24"/>
          <w:lang w:eastAsia="de-DE"/>
        </w:rPr>
        <w:br/>
        <w:t>Übergangsregelung</w:t>
      </w:r>
    </w:p>
    <w:p w14:paraId="253F29AF"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Die bei Inkrafttreten des Kirchengesetzes im Amt befindlichen Mitglieder der Kommission nach </w:t>
      </w:r>
      <w:hyperlink r:id="rId12" w:anchor="s00000013" w:history="1">
        <w:r w:rsidRPr="006813C0">
          <w:rPr>
            <w:rFonts w:eastAsia="Times New Roman" w:cstheme="minorHAnsi"/>
            <w:color w:val="8503AC"/>
            <w:sz w:val="24"/>
            <w:szCs w:val="24"/>
            <w:lang w:eastAsia="de-DE"/>
          </w:rPr>
          <w:t>§ 9 </w:t>
        </w:r>
      </w:hyperlink>
      <w:r w:rsidRPr="006813C0">
        <w:rPr>
          <w:rFonts w:eastAsia="Times New Roman" w:cstheme="minorHAnsi"/>
          <w:color w:val="262626"/>
          <w:sz w:val="24"/>
          <w:szCs w:val="24"/>
          <w:lang w:eastAsia="de-DE"/>
        </w:rPr>
        <w:t>Absatz 2 Satz 3 bleiben bis zur Bildung einer neuen Kommission im Amt.</w:t>
      </w:r>
    </w:p>
    <w:p w14:paraId="032EF199" w14:textId="77777777" w:rsidR="006813C0" w:rsidRPr="006813C0" w:rsidRDefault="006813C0" w:rsidP="006813C0">
      <w:pPr>
        <w:shd w:val="clear" w:color="auto" w:fill="FFFFFF"/>
        <w:spacing w:before="168" w:after="96" w:line="336" w:lineRule="atLeast"/>
        <w:jc w:val="center"/>
        <w:outlineLvl w:val="3"/>
        <w:rPr>
          <w:rFonts w:eastAsia="Times New Roman" w:cstheme="minorHAnsi"/>
          <w:b/>
          <w:bCs/>
          <w:color w:val="333333"/>
          <w:sz w:val="24"/>
          <w:szCs w:val="24"/>
          <w:lang w:eastAsia="de-DE"/>
        </w:rPr>
      </w:pPr>
      <w:r w:rsidRPr="006813C0">
        <w:rPr>
          <w:rFonts w:eastAsia="Times New Roman" w:cstheme="minorHAnsi"/>
          <w:b/>
          <w:bCs/>
          <w:color w:val="333333"/>
          <w:sz w:val="24"/>
          <w:szCs w:val="24"/>
          <w:lang w:eastAsia="de-DE"/>
        </w:rPr>
        <w:t>§ 13</w:t>
      </w:r>
      <w:r w:rsidRPr="006813C0">
        <w:rPr>
          <w:rFonts w:eastAsia="Times New Roman" w:cstheme="minorHAnsi"/>
          <w:b/>
          <w:bCs/>
          <w:color w:val="333333"/>
          <w:sz w:val="24"/>
          <w:szCs w:val="24"/>
          <w:lang w:eastAsia="de-DE"/>
        </w:rPr>
        <w:br/>
        <w:t>Inkrafttreten, Evaluation</w:t>
      </w:r>
    </w:p>
    <w:p w14:paraId="3AF737F3" w14:textId="77777777" w:rsidR="006813C0" w:rsidRPr="006813C0" w:rsidRDefault="006813C0" w:rsidP="006813C0">
      <w:pPr>
        <w:shd w:val="clear" w:color="auto" w:fill="FFFFFF"/>
        <w:spacing w:after="0" w:line="240" w:lineRule="auto"/>
        <w:rPr>
          <w:rFonts w:eastAsia="Times New Roman" w:cstheme="minorHAnsi"/>
          <w:color w:val="262626"/>
          <w:sz w:val="24"/>
          <w:szCs w:val="24"/>
          <w:lang w:eastAsia="de-DE"/>
        </w:rPr>
      </w:pPr>
      <w:r w:rsidRPr="006813C0">
        <w:rPr>
          <w:rFonts w:eastAsia="Times New Roman" w:cstheme="minorHAnsi"/>
          <w:color w:val="262626"/>
          <w:sz w:val="24"/>
          <w:szCs w:val="24"/>
          <w:lang w:eastAsia="de-DE"/>
        </w:rPr>
        <w:t>1 Dieses Kirchengesetz tritt am Tag nach der Verkündung in Kraft.</w:t>
      </w:r>
      <w:hyperlink r:id="rId13" w:anchor="down2" w:tooltip="Zur Fußnote" w:history="1">
        <w:r w:rsidRPr="006813C0">
          <w:rPr>
            <w:rFonts w:eastAsia="Times New Roman" w:cstheme="minorHAnsi"/>
            <w:color w:val="8503AC"/>
            <w:sz w:val="24"/>
            <w:szCs w:val="24"/>
            <w:vertAlign w:val="superscript"/>
            <w:lang w:eastAsia="de-DE"/>
          </w:rPr>
          <w:t>2</w:t>
        </w:r>
      </w:hyperlink>
      <w:r w:rsidRPr="006813C0">
        <w:rPr>
          <w:rFonts w:eastAsia="Times New Roman" w:cstheme="minorHAnsi"/>
          <w:color w:val="262626"/>
          <w:sz w:val="24"/>
          <w:szCs w:val="24"/>
          <w:lang w:eastAsia="de-DE"/>
        </w:rPr>
        <w:t> 2 Das Kirchengesetz ist spätestens nach Ablauf von fünf Jahren zu evaluieren.</w:t>
      </w:r>
    </w:p>
    <w:p w14:paraId="392A360E" w14:textId="77777777" w:rsidR="006813C0" w:rsidRPr="006813C0" w:rsidRDefault="00000000" w:rsidP="006813C0">
      <w:pPr>
        <w:spacing w:before="300" w:after="30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w14:anchorId="4A5D25F8">
          <v:rect id="_x0000_i1025" style="width:0;height:0" o:hrstd="t" o:hrnoshade="t" o:hr="t" fillcolor="#262626" stroked="f"/>
        </w:pict>
      </w:r>
    </w:p>
    <w:p w14:paraId="4E0C4364" w14:textId="68291299" w:rsidR="00AF561E" w:rsidRDefault="00AF561E"/>
    <w:sectPr w:rsidR="00AF561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EC72F6"/>
    <w:multiLevelType w:val="multilevel"/>
    <w:tmpl w:val="379A8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4049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3C0"/>
    <w:rsid w:val="0046173C"/>
    <w:rsid w:val="006813C0"/>
    <w:rsid w:val="00AF561E"/>
    <w:rsid w:val="00D91117"/>
    <w:rsid w:val="00E05A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6661"/>
  <w15:chartTrackingRefBased/>
  <w15:docId w15:val="{879E2741-1795-47AA-BBAC-E80593F8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6813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6813C0"/>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6813C0"/>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13C0"/>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6813C0"/>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6813C0"/>
    <w:rPr>
      <w:rFonts w:ascii="Times New Roman" w:eastAsia="Times New Roman" w:hAnsi="Times New Roman" w:cs="Times New Roman"/>
      <w:b/>
      <w:bCs/>
      <w:sz w:val="24"/>
      <w:szCs w:val="24"/>
      <w:lang w:eastAsia="de-DE"/>
    </w:rPr>
  </w:style>
  <w:style w:type="character" w:customStyle="1" w:styleId="kr-highlight">
    <w:name w:val="kr-highlight"/>
    <w:basedOn w:val="Absatz-Standardschriftart"/>
    <w:rsid w:val="006813C0"/>
  </w:style>
  <w:style w:type="character" w:styleId="Hyperlink">
    <w:name w:val="Hyperlink"/>
    <w:basedOn w:val="Absatz-Standardschriftart"/>
    <w:uiPriority w:val="99"/>
    <w:semiHidden/>
    <w:unhideWhenUsed/>
    <w:rsid w:val="006813C0"/>
    <w:rPr>
      <w:color w:val="0000FF"/>
      <w:u w:val="single"/>
    </w:rPr>
  </w:style>
  <w:style w:type="character" w:customStyle="1" w:styleId="bold">
    <w:name w:val="bold"/>
    <w:basedOn w:val="Absatz-Standardschriftart"/>
    <w:rsid w:val="006813C0"/>
  </w:style>
  <w:style w:type="character" w:customStyle="1" w:styleId="footnote">
    <w:name w:val="footnote"/>
    <w:basedOn w:val="Absatz-Standardschriftart"/>
    <w:rsid w:val="006813C0"/>
  </w:style>
  <w:style w:type="character" w:customStyle="1" w:styleId="subscript">
    <w:name w:val="subscript"/>
    <w:basedOn w:val="Absatz-Standardschriftart"/>
    <w:rsid w:val="006813C0"/>
  </w:style>
  <w:style w:type="character" w:customStyle="1" w:styleId="randnr">
    <w:name w:val="randnr"/>
    <w:basedOn w:val="Absatz-Standardschriftart"/>
    <w:rsid w:val="006813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1840223">
      <w:bodyDiv w:val="1"/>
      <w:marLeft w:val="0"/>
      <w:marRight w:val="0"/>
      <w:marTop w:val="0"/>
      <w:marBottom w:val="0"/>
      <w:divBdr>
        <w:top w:val="none" w:sz="0" w:space="0" w:color="auto"/>
        <w:left w:val="none" w:sz="0" w:space="0" w:color="auto"/>
        <w:bottom w:val="none" w:sz="0" w:space="0" w:color="auto"/>
        <w:right w:val="none" w:sz="0" w:space="0" w:color="auto"/>
      </w:divBdr>
      <w:divsChild>
        <w:div w:id="1913925585">
          <w:marLeft w:val="0"/>
          <w:marRight w:val="0"/>
          <w:marTop w:val="0"/>
          <w:marBottom w:val="0"/>
          <w:divBdr>
            <w:top w:val="none" w:sz="0" w:space="0" w:color="auto"/>
            <w:left w:val="none" w:sz="0" w:space="0" w:color="auto"/>
            <w:bottom w:val="none" w:sz="0" w:space="0" w:color="auto"/>
            <w:right w:val="none" w:sz="0" w:space="0" w:color="auto"/>
          </w:divBdr>
        </w:div>
        <w:div w:id="1983730090">
          <w:marLeft w:val="0"/>
          <w:marRight w:val="0"/>
          <w:marTop w:val="0"/>
          <w:marBottom w:val="0"/>
          <w:divBdr>
            <w:top w:val="none" w:sz="0" w:space="0" w:color="auto"/>
            <w:left w:val="none" w:sz="0" w:space="0" w:color="auto"/>
            <w:bottom w:val="none" w:sz="0" w:space="0" w:color="auto"/>
            <w:right w:val="none" w:sz="0" w:space="0" w:color="auto"/>
          </w:divBdr>
        </w:div>
        <w:div w:id="1958488853">
          <w:marLeft w:val="0"/>
          <w:marRight w:val="0"/>
          <w:marTop w:val="0"/>
          <w:marBottom w:val="0"/>
          <w:divBdr>
            <w:top w:val="none" w:sz="0" w:space="0" w:color="auto"/>
            <w:left w:val="none" w:sz="0" w:space="0" w:color="auto"/>
            <w:bottom w:val="none" w:sz="0" w:space="0" w:color="auto"/>
            <w:right w:val="none" w:sz="0" w:space="0" w:color="auto"/>
          </w:divBdr>
        </w:div>
        <w:div w:id="1381057028">
          <w:marLeft w:val="0"/>
          <w:marRight w:val="0"/>
          <w:marTop w:val="0"/>
          <w:marBottom w:val="0"/>
          <w:divBdr>
            <w:top w:val="none" w:sz="0" w:space="0" w:color="auto"/>
            <w:left w:val="none" w:sz="0" w:space="0" w:color="auto"/>
            <w:bottom w:val="none" w:sz="0" w:space="0" w:color="auto"/>
            <w:right w:val="none" w:sz="0" w:space="0" w:color="auto"/>
          </w:divBdr>
        </w:div>
        <w:div w:id="879392531">
          <w:marLeft w:val="0"/>
          <w:marRight w:val="0"/>
          <w:marTop w:val="0"/>
          <w:marBottom w:val="0"/>
          <w:divBdr>
            <w:top w:val="none" w:sz="0" w:space="0" w:color="auto"/>
            <w:left w:val="none" w:sz="0" w:space="0" w:color="auto"/>
            <w:bottom w:val="none" w:sz="0" w:space="0" w:color="auto"/>
            <w:right w:val="none" w:sz="0" w:space="0" w:color="auto"/>
          </w:divBdr>
        </w:div>
        <w:div w:id="10862666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rchenrecht-nordkirche.de/document/40916/search/Pr%25C3%25A4ventionsgesetz" TargetMode="External"/><Relationship Id="rId13" Type="http://schemas.openxmlformats.org/officeDocument/2006/relationships/hyperlink" Target="https://www.kirchenrecht-nordkirche.de/document/40916/search/Pr%25C3%25A4ventionsgesetz" TargetMode="External"/><Relationship Id="rId3" Type="http://schemas.openxmlformats.org/officeDocument/2006/relationships/settings" Target="settings.xml"/><Relationship Id="rId7" Type="http://schemas.openxmlformats.org/officeDocument/2006/relationships/hyperlink" Target="https://www.kirchenrecht-nordkirche.de/document/40916/search/Pr%25C3%25A4ventionsgesetz" TargetMode="External"/><Relationship Id="rId12" Type="http://schemas.openxmlformats.org/officeDocument/2006/relationships/hyperlink" Target="https://www.kirchenrecht-nordkirche.de/document/40916/search/Pr%25C3%25A4ventionsgeset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rchenrecht-nordkirche.de/document/40916/search/Pr%25C3%25A4ventionsgesetz" TargetMode="External"/><Relationship Id="rId11" Type="http://schemas.openxmlformats.org/officeDocument/2006/relationships/hyperlink" Target="https://www.kirchenrecht-nordkirche.de/document/40916/search/Pr%25C3%25A4ventionsgesetz" TargetMode="External"/><Relationship Id="rId5" Type="http://schemas.openxmlformats.org/officeDocument/2006/relationships/hyperlink" Target="https://www.kirchenrecht-nordkirche.de/document/40916/search/Pr%25C3%25A4ventionsgesetz" TargetMode="External"/><Relationship Id="rId15" Type="http://schemas.openxmlformats.org/officeDocument/2006/relationships/theme" Target="theme/theme1.xml"/><Relationship Id="rId10" Type="http://schemas.openxmlformats.org/officeDocument/2006/relationships/hyperlink" Target="https://www.kirchenrecht-nordkirche.de/document/40916/search/Pr%25C3%25A4ventionsgesetz" TargetMode="External"/><Relationship Id="rId4" Type="http://schemas.openxmlformats.org/officeDocument/2006/relationships/webSettings" Target="webSettings.xml"/><Relationship Id="rId9" Type="http://schemas.openxmlformats.org/officeDocument/2006/relationships/hyperlink" Target="https://www.kirchenrecht-nordkirche.de/document/40916/search/Pr%25C3%25A4ventionsgesetz"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1987</Words>
  <Characters>12521</Characters>
  <Application>Microsoft Office Word</Application>
  <DocSecurity>0</DocSecurity>
  <Lines>104</Lines>
  <Paragraphs>28</Paragraphs>
  <ScaleCrop>false</ScaleCrop>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Schmidt</dc:creator>
  <cp:keywords/>
  <dc:description/>
  <cp:lastModifiedBy>Henri Steinrück</cp:lastModifiedBy>
  <cp:revision>2</cp:revision>
  <dcterms:created xsi:type="dcterms:W3CDTF">2024-06-17T08:05:00Z</dcterms:created>
  <dcterms:modified xsi:type="dcterms:W3CDTF">2024-06-17T08:05:00Z</dcterms:modified>
</cp:coreProperties>
</file>